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50FBD"/>
    <w:rsid w:val="00557D9D"/>
    <w:rsid w:val="005660C2"/>
    <w:rsid w:val="005C714D"/>
    <w:rsid w:val="00694A0A"/>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C62C1C"/>
    <w:rsid w:val="00D94F0F"/>
    <w:rsid w:val="00E370F7"/>
    <w:rsid w:val="00E40146"/>
    <w:rsid w:val="00E44DC3"/>
    <w:rsid w:val="00E62F7B"/>
    <w:rsid w:val="00E71AA9"/>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2017-03-06T09:16:00Z</dcterms:modified>
</cp:coreProperties>
</file>